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60" w:line="240" w:lineRule="auto"/>
        <w:jc w:val="center"/>
      </w:pPr>
      <w:r>
        <w:rPr>
          <w:rFonts w:ascii="Microsoft YaHei" w:cs="Microsoft YaHei" w:eastAsia="Microsoft YaHei" w:hAnsi="Microsoft YaHei"/>
          <w:b/>
          <w:bCs/>
          <w:sz w:val="24"/>
          <w:szCs w:val="24"/>
        </w:rPr>
        <w:t xml:space="preserve">周报月报——2026年7月A股市场全景分析</w:t>
      </w:r>
    </w:p>
    <w:p>
      <w:pPr>
        <w:spacing w:after="0" w:before="0" w:line="240" w:lineRule="auto"/>
        <w:ind w:firstLine="300"/>
        <w:jc w:val="left"/>
      </w:pPr>
      <w:r>
        <w:rPr>
          <w:rFonts w:ascii="Microsoft YaHei" w:cs="Microsoft YaHei" w:eastAsia="Microsoft YaHei" w:hAnsi="Microsoft YaHei"/>
          <w:b w:val="false"/>
          <w:bCs w:val="false"/>
          <w:sz w:val="20"/>
          <w:szCs w:val="20"/>
        </w:rPr>
        <w:t xml:space="preserve">2026年7月A股市场全景分析一、指数走势：全线下挫，科创50创历史最大单月跌幅2026年7月，A股主要指数全面大幅回调，呈现"科技股领跌、传统防御板块相对抗跌"的结构性特征。上证指数累计下跌6.4%，收于3832.26点，创2022年2月以来最大单月跌幅；深证成指累计大跌16.21%，创2016年2月以来最大单月跌幅；创业板指累计重挫23%，仅次于2016年1月的26.53%；科创50指数累计暴跌25.9%，创下该指数自2020年7月发布以来的最大单月跌幅。从波动特征看，7月A股呈现"先急跌后反弹"的深V走势。科创50指数在7月28日跌至1588.41点的月度最低点，较7月1日盘中创下的2255.25点历史高点，单月最大跌幅达29.5%，振幅约30%。创业板指在7月28日单日暴跌7.35%，随后在7月31日反弹3.06%，市场情绪出现明显修复。值得注意的是，科技股的估值泡沫在7月得到集中消化。科创50指数7月初PE估值接近100倍，月末回落至约60倍；创业板指PE估值从70倍回落至45倍左右。而上证50等价值权重指数跌幅较小，仅下跌约2.5%，成为全月市场的重要压舱石。二、资金流向：ETF持续吸金，两融加速离场，北向资金微幅流出1. 量能变化：成交活跃度下降，市场情绪转弱7月A股日均成交额约2.6万亿元，较6月日均约2.8万亿元缩量7.1%。全月呈现"月初活跃、月中低迷、月末反弹"的三阶段特征。其中，7月31日单日成交额回升至2.56万亿元，全市场近4700只个股上涨，市场情绪有所回暖。两融余额7月大幅回落，从月初约29000亿元降至7月30日的26065.28亿元，单月净流出超3000亿元。7月17-20日两融资金流出尤为剧烈，单日流出最高达800亿元，显示杠杆资金加速离场。但值得注意的是，7月下旬以来，两融流出势头明显放缓，表明市场恐慌情绪已有所缓解。2. 资金流向：ETF创纪录净流入，北向资金微幅流出股票型ETF单月净流入突破5000亿元，创下历史新高。截至7月30日，股票型ETF月净流入已达5022.12亿元，远超此前单月最高净流入规模。从资金结构看，宽基ETF净流入3157亿元，行业主题ETF净流入1577亿元，其中科创50相关ETF净流入748.17亿元，居各宽基指数之首。北向资金7月整体净流出约0.3亿美元，但较6月净流入1580亿元明显放缓。从行业配置看，北向资金延续二季度对科技板块的配置偏好，但电子、通信等行业因估值过高和Meta抛售事件遭减持。值得注意的是，电子行业仍是北向资金第一大重仓行业，持股市值达7825亿元，但环比增速放缓。南向资金7月整体净流出约85.72亿港元，恒生指数月跌13.13%，恒生科技指数跌7.98%。资金从港股科技板块转向中资银行、保险等防御性板块，反映全球投资者风险偏好下降。三、板块轮动：科技股内部出现分化，红利价值与防御板块阶段性崛起1. 行业涨跌幅：传统价值跑赢科技成长申万一级行业7月涨跌幅呈现显著分化。在31个申万一级行业中，14个行业上涨，17个行业下跌。领涨板块主要集中在传统价值领域：煤炭行业以14.29%的涨幅位居首位，石油石化（+12.63%）、银行（+11.57%）、食品饮料（+11.34%）紧随其后。领跌板块则集中在科技成长领域：电子行业暴跌34.72%，通信行业大跌31.9%，建筑材料行业下跌27.9%。值得注意的是，科技板块内部也出现明显分化。半导体、光模块等硬件板块跌幅最大，分别下跌36.45%和30.36%；而AI应用端如传媒（+3.09%）、计算机等板块则逆势走强。这一分化特征反映市场对科技股估值与基本面的重新定价。2. 基金持仓与资金流向主动型基金持仓结构呈现极致分化。截至7月底，电子行业持仓比例从一季度的约25%攀升至43.4%，TMT行业持仓突破60%，资金持仓配置高度集中。与此同时，食品饮料、有色金属、银行等3大行业的持股市值均减少200亿元以上，显示资金从传统板块向科技板块的集中迁移。ETF资金流向同样呈现"科技越跌越买"的特征。7月28日创业板指暴跌7.35%当天，创业板ETF单日净流入68.56亿元，科创50ETF华夏单日净流入37.97亿元，占当日全市场ETF增量资金的近八成。这一特征表明，机构投资者认可AI算力、半导体国产化的中长期产业逻辑未被短期扰动改变。3. 新股发行与破发情况2026年7月A股IPO市场整体平稳，共有11家企业完成上市，募资约195.77亿元。其中，长鑫科技于7月27日登陆科创板，募资约579亿元，成为科创板史上最大IPO。北交所7月新增7家上市公司，平均首日涨幅仍保持在较高水平。与上半年全月无一破发形成鲜明对比，7月A股市场出现部分新股破发现象。统计显示，7月上市的新股中，破发率约为15%，主要集中在电子、通信等科技板块。例如，立讯精密H股上市首日开盘即破发，盘中最大跌幅接近9%；普源精电首日跌幅达37.36%，反映市场对科技股估值的重新评估。四、中报业绩预告：科技硬件高增，消费地产承压1. 业绩预告整体情况截至7月底，A股已有超过700家公司发布半年报业绩预告，其中预喜公司占比约45.2%，较2025年中报基本持平。从行业分布看，科技硬件、周期资源和非银金融板块表现亮眼，而消费、地产链和部分科技细分领域则面临业绩压力。2. 行业景气分化科技硬件板块：半导体设备龙头长川科技预计上半年净利润同比增长111%-134%；存储芯片企业江波龙预计净利润同比增长62204%-74394%（因2025年上半年基数极低），反映AI算力需求爆发带来的行业红利。周期资源板块：有色金属企业盛达资源预计净利润同比增长399%-471%；石油石化企业广汇能源预计净利润同比增长37%-55%，受益于大宗商品价格波动和地缘因素影响。消费板块：家电龙头美的集团净利润同比下滑28%；汽车龙头比亚迪净利润下滑19%，反映消费复苏不及预期和成本压力。建筑装饰与钢铁行业：建筑装饰行业净利润同比下滑879.4%；钢铁行业净利润同比下滑510.2%，显示传统制造业仍面临较大经营压力。五、政策环境：金融监管趋严，产业政策持续加码1. 央行公开市场操作央行7月实施稳健偏宽松的货币政策，通过多种工具维持市场流动性合理充裕。7月24日，央行以固定数量、利率招标、多重价位中标方式开展5000亿元MLF操作，期限为1年期，实现净投放1000亿元。这是MLF连续第三个月加量续作，当月央行中期流动性操作合计加量8000亿元。在逆回购操作方面，央行7月大幅增加隔夜逆回购投放。7月29日至31日及8月3日，央行累计投放21000亿元隔夜逆回购，单日最高达6000亿元。7月31日，央行以固定利率、数量招标方式开展1340亿元7天期逆回购操作，利率维持1.40%不变。这些操作有效对冲了跨月资金需求上升和税期扰动等因素带来的资金缺口。2. 资本市场改革政策7月31日，金融监管总局、央行、证监会、财政部联合发布《关于健全金融机构治理的实施意见》，直击市场多年顽疾，从金融源头切断大股东、机构互相勾结输送利益的灰色通道。该政策明确要求对大股东减持、机构交易行为实施穿透式监管，严控大股东违规减持及机构勾结。减持新规进一步趋严。根据新规，在限制期内转让原始股的行为，按转让金额的"0—30%—50%—100%"划分处罚阶次；对未按规定暂停交易的行为，按违法所得的"0—3 倍 —5 倍 —10 倍"划分处罚阶次。新规还设置了从轻和从重处罚的情节，确保量罚精准、透明，过罚相当。退市制度持续完善。2026年退市规则进一步细化指标判定标准，采用"组合指标 + 交叉验证"模式，明确"连续两个会计年度经审计的扣除非经常性损益前后净利润孰低者为负值，且同期经审计的营业收入低于 1 亿元"的主指标。交易类退市指标则包括"连续 20 个交易日每日收盘价均低于人民币 1 元"等。3. 重要产业政策国务院7月10日定调AI、集成电路为国家级新兴支柱产业，要求全链条推动规模化发展，将科技自立自强作为培育新质生产力的核心抓手。同时，七部委联合印发《2026-2028硬科技协同发展方案》，明确要求自2026年9月起，央企、国企新建智算中心，国产算力硬件采购占比不低于75%。工信部7月2日联合国家发改委、市场监管总局发布三项光伏领域强制性国家标准，包括《硅多晶和锗单位产品能源消耗限额》《硅单晶单位产品能源消耗限额》《晶体硅光伏组件和逆变器能效限定值及能效等级》，定于2027年1月1日正式实施。这些标准预计将淘汰光伏总产能的30%左右，加速行业落后产能出清。财政部、税务总局、工信部7月2日发布《关于调整节能汽车、新能源汽车车船税优惠政策的公告》，自2027年1月1日起，取消对节能汽车减半征收车船税政策，取消对纯电动商用车、插电式（含增程式）混合动力汽车、燃料电池商用车免征车船税政策。这一政策调整旨在推动新能源汽车行业从"拼价格"走向"拼价值"，加速行业高质量发展。六、市场展望：估值修复驱动结构性行情，风格分化正循环7月市场调整主要源于估值泡沫消化，而非基本面恶化。科技股经历"冰火两重天"，前期估值过高的半导体、存储芯片等细分领域跌幅最大，而AI应用端如传媒、计算机等板块则逆势活跃。这表明，科技主线并未结束，而是从估值驱动转向盈利验证。ETF资金持续大幅净流入的特征表明，机构投资者认可科技股的长期投资价值。尤其是半导体设备、科创板芯片等硬科技ETF净流入超830亿元，显示资金对科技股的配置意愿并未减弱，而是更加注重估值与基本面的匹配。政治局会议对资本市场的表述升级，从4月的"稳定和增强资本市场信心"进阶为"提升资本市场韧性和信心"，政策重心由短期稳市场拓展至投融资两端制度建设。会议强调"深化资本市场投融资综合改革"，意味着资本市场改革将进入加速落地期，有助于增强市场内在稳定性。结论2026年7月A股市场呈现"指数大幅回调、个股表现分化"的特征。科技股估值泡沫得到集中消化，但板块内部出现明显分化；传统价值板块阶段性崛起，红利资产获得资金关注。资金面上，ETF持续大幅净流入，两融余额加速回落，北向资金微幅流出，南向资金大幅净卖出。从政策环境看，央行通过MLF加量续作和大规模隔夜逆回购操作，保持市场流动性合理充裕；金融监管趋严，减持新规和退市制度进一步完善，强化市场公平性；产业政策持续加码，AI、半导体、新能源等领域获得政策支持。展望后市，市场可能进入震荡修复期，结构性机会增多。投资者应关注具备清晰业绩兑现路径、稳定现金流及可持续资本回报能力的标的，逐步降低对纯景气叙事标的的暴露。在持仓结构上，可考虑"哑铃型"策略，一方面配置估值合理、业绩确定性强的科技龙头，另一方面配置低估值、高股息的传统行业龙头，以应对市场波动风险。</w:t>
      </w:r>
    </w:p>
    <w:sectPr>
      <w:pgSz w:w="11905" w:h="16837"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YaHei" w:cs="Microsoft YaHei" w:eastAsia="Microsoft YaHei" w:hAnsi="Microsoft YaHe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周报月报——2026年7月A股市场全景分析</dc:title>
  <dc:creator>XinxiMail</dc:creator>
  <cp:lastModifiedBy>Un-named</cp:lastModifiedBy>
  <cp:revision>1</cp:revision>
  <dcterms:created xsi:type="dcterms:W3CDTF">2026-08-01T05:26:22.205Z</dcterms:created>
  <dcterms:modified xsi:type="dcterms:W3CDTF">2026-08-01T05:26:22.206Z</dcterms:modified>
</cp:coreProperties>
</file>

<file path=docProps/custom.xml><?xml version="1.0" encoding="utf-8"?>
<Properties xmlns="http://schemas.openxmlformats.org/officeDocument/2006/custom-properties" xmlns:vt="http://schemas.openxmlformats.org/officeDocument/2006/docPropsVTypes"/>
</file>